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ind w:right="-82" w:rightChars="-39" w:firstLine="420" w:firstLineChars="200"/>
        <w:jc w:val="center"/>
        <w:rPr>
          <w:rFonts w:ascii="黑体" w:hAnsi="黑体" w:eastAsia="黑体"/>
          <w:szCs w:val="21"/>
        </w:rPr>
      </w:pPr>
      <w:bookmarkStart w:id="0" w:name="_GoBack"/>
      <w:r>
        <w:rPr>
          <w:rFonts w:hint="eastAsia" w:ascii="黑体" w:hAnsi="黑体" w:eastAsia="黑体"/>
          <w:szCs w:val="21"/>
        </w:rPr>
        <w:t>表3</w:t>
      </w:r>
      <w:r>
        <w:rPr>
          <w:rFonts w:ascii="黑体" w:hAnsi="黑体" w:eastAsia="黑体"/>
          <w:szCs w:val="21"/>
        </w:rPr>
        <w:t xml:space="preserve">  </w:t>
      </w:r>
      <w:r>
        <w:rPr>
          <w:rFonts w:hint="eastAsia" w:ascii="黑体" w:hAnsi="黑体" w:eastAsia="黑体"/>
          <w:szCs w:val="21"/>
        </w:rPr>
        <w:t>出省《植物检疫证书》核发——检疫规定和要求细化表</w:t>
      </w:r>
      <w:bookmarkEnd w:id="0"/>
    </w:p>
    <w:tbl>
      <w:tblPr>
        <w:tblStyle w:val="3"/>
        <w:tblW w:w="7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292"/>
        <w:gridCol w:w="1134"/>
        <w:gridCol w:w="650"/>
        <w:gridCol w:w="909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229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检疫依据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岗位职责和权限</w:t>
            </w:r>
          </w:p>
        </w:tc>
        <w:tc>
          <w:tcPr>
            <w:tcW w:w="65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检疫期限</w:t>
            </w:r>
          </w:p>
        </w:tc>
        <w:tc>
          <w:tcPr>
            <w:tcW w:w="90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检疫人员条件</w:t>
            </w:r>
          </w:p>
        </w:tc>
        <w:tc>
          <w:tcPr>
            <w:tcW w:w="221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检疫内容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3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92" w:type="dxa"/>
            <w:vAlign w:val="center"/>
          </w:tcPr>
          <w:p>
            <w:pPr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《植物检疫条例》第七条：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</w:rPr>
              <w:t>调运植物和植物产品，属于下列情况的，必须经过检疫：</w:t>
            </w:r>
          </w:p>
          <w:p>
            <w:pPr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1.列入应施检疫的植物、植物产品名单的，运出发生疫情的县级行政区域之前，必须经过检疫；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2.凡种子、苗木和其他繁殖材料，不论是否列入应施检疫的植物、植物产品名单和运任何地，在调运之前，都必须经过检疫。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按照《森林植物检疫技术规程》进行检验，为植物检疫签证提供科学依据。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视具体情况而定。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森检员进行检验检疫。</w:t>
            </w:r>
          </w:p>
        </w:tc>
        <w:tc>
          <w:tcPr>
            <w:tcW w:w="221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检查森林植物及其产品的表层、包装物外部、填充物、堆放场所、运载工具和铺垫材料等是否带有检疫对象或其它危险性病、虫。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F2CB4"/>
    <w:rsid w:val="373F2C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2016-08-15T03:04:00Z</dcterms:created>
  <dc:creator>NYJ</dc:creator>
  <cp:lastModifiedBy>NYJ</cp:lastModifiedBy>
  <dcterms:modified xsi:type="dcterms:W3CDTF">2016-08-15T03:05:12Z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